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08" w:rsidRPr="00876228" w:rsidRDefault="00206608" w:rsidP="00876228">
      <w:pPr>
        <w:pStyle w:val="Heading1"/>
        <w:rPr>
          <w:b/>
          <w:sz w:val="22"/>
          <w:szCs w:val="22"/>
        </w:rPr>
      </w:pPr>
      <w:r w:rsidRPr="00876228">
        <w:rPr>
          <w:b/>
        </w:rPr>
        <w:t xml:space="preserve">Environmental Scan: Key Findings and Implications </w:t>
      </w:r>
    </w:p>
    <w:p w:rsidR="00206608" w:rsidRPr="00876228" w:rsidRDefault="00206608" w:rsidP="00206608">
      <w:pPr>
        <w:pStyle w:val="Default"/>
        <w:rPr>
          <w:rFonts w:ascii="Franklin Gothic Book" w:hAnsi="Franklin Gothic Book"/>
          <w:sz w:val="22"/>
          <w:szCs w:val="22"/>
        </w:rPr>
      </w:pPr>
    </w:p>
    <w:p w:rsidR="00314C06" w:rsidRPr="00876228" w:rsidRDefault="00314C06" w:rsidP="00876228">
      <w:pPr>
        <w:pStyle w:val="Heading2"/>
        <w:rPr>
          <w:rFonts w:eastAsia="Times New Roman"/>
          <w:b/>
          <w:lang w:val="en"/>
        </w:rPr>
      </w:pPr>
      <w:r w:rsidRPr="00876228">
        <w:rPr>
          <w:rFonts w:eastAsia="Times New Roman"/>
          <w:b/>
          <w:lang w:val="en"/>
        </w:rPr>
        <w:t>About the Scan</w:t>
      </w:r>
    </w:p>
    <w:p w:rsidR="00B80879" w:rsidRDefault="00B80879" w:rsidP="00206608">
      <w:pPr>
        <w:pStyle w:val="Default"/>
        <w:rPr>
          <w:rFonts w:ascii="Franklin Gothic Book" w:eastAsia="Times New Roman" w:hAnsi="Franklin Gothic Book" w:cs="Times New Roman"/>
          <w:lang w:val="en"/>
        </w:rPr>
      </w:pPr>
      <w:r>
        <w:rPr>
          <w:rFonts w:ascii="Franklin Gothic Book" w:eastAsia="Times New Roman" w:hAnsi="Franklin Gothic Book" w:cs="Times New Roman"/>
          <w:lang w:val="en"/>
        </w:rPr>
        <w:t>The</w:t>
      </w:r>
      <w:r w:rsidRPr="00B80879">
        <w:rPr>
          <w:rFonts w:ascii="Franklin Gothic Book" w:eastAsia="Times New Roman" w:hAnsi="Franklin Gothic Book" w:cs="Times New Roman"/>
          <w:lang w:val="en"/>
        </w:rPr>
        <w:t xml:space="preserve"> Environmental Scan and corresponding data and analysis provides an overview of external factors affecting the p</w:t>
      </w:r>
      <w:r>
        <w:rPr>
          <w:rFonts w:ascii="Franklin Gothic Book" w:eastAsia="Times New Roman" w:hAnsi="Franklin Gothic Book" w:cs="Times New Roman"/>
          <w:lang w:val="en"/>
        </w:rPr>
        <w:t xml:space="preserve">ostsecondary education sector. </w:t>
      </w:r>
      <w:r w:rsidRPr="00B80879">
        <w:rPr>
          <w:rFonts w:ascii="Franklin Gothic Book" w:eastAsia="Times New Roman" w:hAnsi="Franklin Gothic Book" w:cs="Times New Roman"/>
          <w:lang w:val="en"/>
        </w:rPr>
        <w:t>The information presented on this page is a summary of that information.</w:t>
      </w:r>
      <w:r>
        <w:rPr>
          <w:rFonts w:ascii="Franklin Gothic Book" w:eastAsia="Times New Roman" w:hAnsi="Franklin Gothic Book" w:cs="Times New Roman"/>
          <w:lang w:val="en"/>
        </w:rPr>
        <w:t xml:space="preserve"> The full Environmental Scan is available on the We Are Humber website.</w:t>
      </w:r>
      <w:r w:rsidRPr="00B80879">
        <w:rPr>
          <w:rFonts w:ascii="Franklin Gothic Book" w:eastAsia="Times New Roman" w:hAnsi="Franklin Gothic Book" w:cs="Times New Roman"/>
          <w:lang w:val="en"/>
        </w:rPr>
        <w:t xml:space="preserve"> </w:t>
      </w:r>
      <w:bookmarkStart w:id="0" w:name="_GoBack"/>
      <w:bookmarkEnd w:id="0"/>
    </w:p>
    <w:p w:rsidR="00B80879" w:rsidRPr="00876228" w:rsidRDefault="00B80879" w:rsidP="00206608">
      <w:pPr>
        <w:pStyle w:val="Default"/>
        <w:rPr>
          <w:rFonts w:ascii="Franklin Gothic Book" w:eastAsia="Times New Roman" w:hAnsi="Franklin Gothic Book" w:cs="Times New Roman"/>
          <w:lang w:val="en"/>
        </w:rPr>
      </w:pPr>
    </w:p>
    <w:p w:rsidR="00314C06" w:rsidRPr="00B51127" w:rsidRDefault="00314C06" w:rsidP="00876228">
      <w:pPr>
        <w:pStyle w:val="Heading2"/>
        <w:rPr>
          <w:rFonts w:eastAsia="Times New Roman"/>
          <w:lang w:val="en"/>
        </w:rPr>
      </w:pPr>
      <w:r w:rsidRPr="00B51127">
        <w:rPr>
          <w:rFonts w:eastAsia="Times New Roman"/>
          <w:b/>
          <w:lang w:val="en"/>
        </w:rPr>
        <w:t>Economy &amp; Labour Market Trends</w:t>
      </w:r>
    </w:p>
    <w:p w:rsidR="00206608"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Over the coming decade, most developed countries will face labour market challenges that include increased competition, an aging population, increased focus on global warming and technological transformation. The proposed Trans Pacific Partnership (TPP) deal will open up trade in nearl</w:t>
      </w:r>
      <w:r w:rsidR="00314C06" w:rsidRPr="00B51127">
        <w:rPr>
          <w:rFonts w:ascii="Franklin Gothic Book" w:eastAsia="Times New Roman" w:hAnsi="Franklin Gothic Book" w:cs="Times New Roman"/>
          <w:lang w:val="en"/>
        </w:rPr>
        <w:t>y all goods and service sectors. O</w:t>
      </w:r>
      <w:r w:rsidRPr="00B51127">
        <w:rPr>
          <w:rFonts w:ascii="Franklin Gothic Book" w:eastAsia="Times New Roman" w:hAnsi="Franklin Gothic Book" w:cs="Times New Roman"/>
          <w:lang w:val="en"/>
        </w:rPr>
        <w:t xml:space="preserve">pen markets and trade deals will </w:t>
      </w:r>
      <w:r w:rsidR="00314C06" w:rsidRPr="00B51127">
        <w:rPr>
          <w:rFonts w:ascii="Franklin Gothic Book" w:eastAsia="Times New Roman" w:hAnsi="Franklin Gothic Book" w:cs="Times New Roman"/>
          <w:lang w:val="en"/>
        </w:rPr>
        <w:t>i</w:t>
      </w:r>
      <w:r w:rsidR="008333AE" w:rsidRPr="00B51127">
        <w:rPr>
          <w:rFonts w:ascii="Franklin Gothic Book" w:eastAsia="Times New Roman" w:hAnsi="Franklin Gothic Book" w:cs="Times New Roman"/>
          <w:lang w:val="en"/>
        </w:rPr>
        <w:t>ncrease</w:t>
      </w:r>
      <w:r w:rsidR="00314C06" w:rsidRPr="00B51127">
        <w:rPr>
          <w:rFonts w:ascii="Franklin Gothic Book" w:eastAsia="Times New Roman" w:hAnsi="Franklin Gothic Book" w:cs="Times New Roman"/>
          <w:lang w:val="en"/>
        </w:rPr>
        <w:t xml:space="preserve"> global competition and </w:t>
      </w:r>
      <w:r w:rsidRPr="00B51127">
        <w:rPr>
          <w:rFonts w:ascii="Franklin Gothic Book" w:eastAsia="Times New Roman" w:hAnsi="Franklin Gothic Book" w:cs="Times New Roman"/>
          <w:lang w:val="en"/>
        </w:rPr>
        <w:t xml:space="preserve">require expanded per-worker productive capacity through innovation and technology. To meet these demands, employers will require a highly educated and technologically-savvy workforce. </w:t>
      </w:r>
    </w:p>
    <w:p w:rsidR="00206608" w:rsidRPr="00B51127" w:rsidRDefault="00206608" w:rsidP="00206608">
      <w:pPr>
        <w:pStyle w:val="Default"/>
        <w:rPr>
          <w:rFonts w:ascii="Franklin Gothic Book" w:eastAsia="Times New Roman" w:hAnsi="Franklin Gothic Book" w:cs="Times New Roman"/>
          <w:lang w:val="en"/>
        </w:rPr>
      </w:pPr>
    </w:p>
    <w:p w:rsidR="00206608"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Canada ranks among the lowest in labour productivity and innovation across the developed world and efforts to stimulate productivity by the federal and provincial governments are currently underway. To be competitive in the global economy, Canada will require a workforce that is highly educated as well as entrepreneurial and innovative, with the ability to transform ideas into products. The shift from a manufacturing and goods-producing economy towards a service-based economy, particularly in North American metropolitan areas, has been driven by entrepreneurship and growth in digital apps and services, cloud computing, mobile technology and data analytics. Globally, over the next decades, the economy will be driven by technology, energy, e-commerce, the “sharing economy” and health. The role of the postsecondary sector will be critical in developing and delivering programs and credentials to meet industry needs and create a workforce that is adaptable, creative, analytical and thinks globally. </w:t>
      </w:r>
    </w:p>
    <w:p w:rsidR="00206608" w:rsidRPr="00B51127" w:rsidRDefault="00206608" w:rsidP="00206608">
      <w:pPr>
        <w:pStyle w:val="Default"/>
        <w:rPr>
          <w:rFonts w:ascii="Franklin Gothic Book" w:eastAsia="Times New Roman" w:hAnsi="Franklin Gothic Book" w:cs="Times New Roman"/>
          <w:lang w:val="en"/>
        </w:rPr>
      </w:pPr>
    </w:p>
    <w:p w:rsidR="008333AE"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Canada </w:t>
      </w:r>
      <w:r w:rsidR="008333AE" w:rsidRPr="00B51127">
        <w:rPr>
          <w:rFonts w:ascii="Franklin Gothic Book" w:eastAsia="Times New Roman" w:hAnsi="Franklin Gothic Book" w:cs="Times New Roman"/>
          <w:lang w:val="en"/>
        </w:rPr>
        <w:t>has one of the most highly educated populations among the OECD making it</w:t>
      </w:r>
      <w:r w:rsidRPr="00B51127">
        <w:rPr>
          <w:rFonts w:ascii="Franklin Gothic Book" w:eastAsia="Times New Roman" w:hAnsi="Franklin Gothic Book" w:cs="Times New Roman"/>
          <w:lang w:val="en"/>
        </w:rPr>
        <w:t xml:space="preserve"> well positioned to face many of these emerge</w:t>
      </w:r>
      <w:r w:rsidR="008333AE" w:rsidRPr="00B51127">
        <w:rPr>
          <w:rFonts w:ascii="Franklin Gothic Book" w:eastAsia="Times New Roman" w:hAnsi="Franklin Gothic Book" w:cs="Times New Roman"/>
          <w:lang w:val="en"/>
        </w:rPr>
        <w:t>nt labour market challenges</w:t>
      </w:r>
      <w:r w:rsidRPr="00B51127">
        <w:rPr>
          <w:rFonts w:ascii="Franklin Gothic Book" w:eastAsia="Times New Roman" w:hAnsi="Franklin Gothic Book" w:cs="Times New Roman"/>
          <w:lang w:val="en"/>
        </w:rPr>
        <w:t>. However, due to the aging population and small family sizes, a declining natural population will place strain on many regions across the country. The census divisions of Durham, Halton, Peel</w:t>
      </w:r>
      <w:r w:rsidR="008333AE" w:rsidRPr="00B51127">
        <w:rPr>
          <w:rFonts w:ascii="Franklin Gothic Book" w:eastAsia="Times New Roman" w:hAnsi="Franklin Gothic Book" w:cs="Times New Roman"/>
          <w:lang w:val="en"/>
        </w:rPr>
        <w:t>,</w:t>
      </w:r>
      <w:r w:rsidRPr="00B51127">
        <w:rPr>
          <w:rFonts w:ascii="Franklin Gothic Book" w:eastAsia="Times New Roman" w:hAnsi="Franklin Gothic Book" w:cs="Times New Roman"/>
          <w:lang w:val="en"/>
        </w:rPr>
        <w:t xml:space="preserve"> and York will experience the most significant growth, faster than Ontario as a whole, but a declining college-age demographic (18-24 years) between 2016 and 2021 in Ontario and the greater Toronto area (GTA) will result in a smaller pool of domestic students and workforce from which to draw. </w:t>
      </w:r>
    </w:p>
    <w:p w:rsidR="008333AE" w:rsidRPr="00B51127" w:rsidRDefault="008333AE" w:rsidP="00206608">
      <w:pPr>
        <w:pStyle w:val="Default"/>
        <w:rPr>
          <w:rFonts w:ascii="Franklin Gothic Book" w:eastAsia="Times New Roman" w:hAnsi="Franklin Gothic Book" w:cs="Times New Roman"/>
          <w:lang w:val="en"/>
        </w:rPr>
      </w:pPr>
    </w:p>
    <w:p w:rsidR="008333AE" w:rsidRPr="00B51127" w:rsidRDefault="008333AE"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Implications </w:t>
      </w:r>
      <w:r w:rsidR="00206608" w:rsidRPr="00B51127">
        <w:rPr>
          <w:rFonts w:ascii="Franklin Gothic Book" w:eastAsia="Times New Roman" w:hAnsi="Franklin Gothic Book" w:cs="Times New Roman"/>
          <w:lang w:val="en"/>
        </w:rPr>
        <w:t>for the postsecondary sector</w:t>
      </w:r>
      <w:r w:rsidRPr="00B51127">
        <w:rPr>
          <w:rFonts w:ascii="Franklin Gothic Book" w:eastAsia="Times New Roman" w:hAnsi="Franklin Gothic Book" w:cs="Times New Roman"/>
          <w:lang w:val="en"/>
        </w:rPr>
        <w:t xml:space="preserve"> as a result of these demographic changes </w:t>
      </w:r>
      <w:r w:rsidR="00206608" w:rsidRPr="00B51127">
        <w:rPr>
          <w:rFonts w:ascii="Franklin Gothic Book" w:eastAsia="Times New Roman" w:hAnsi="Franklin Gothic Book" w:cs="Times New Roman"/>
          <w:lang w:val="en"/>
        </w:rPr>
        <w:t>include</w:t>
      </w:r>
      <w:r w:rsidRPr="00B51127">
        <w:rPr>
          <w:rFonts w:ascii="Franklin Gothic Book" w:eastAsia="Times New Roman" w:hAnsi="Franklin Gothic Book" w:cs="Times New Roman"/>
          <w:lang w:val="en"/>
        </w:rPr>
        <w:t>:</w:t>
      </w:r>
    </w:p>
    <w:p w:rsidR="008333AE" w:rsidRPr="00B51127" w:rsidRDefault="008333AE" w:rsidP="008333AE">
      <w:pPr>
        <w:pStyle w:val="Default"/>
        <w:numPr>
          <w:ilvl w:val="0"/>
          <w:numId w:val="1"/>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I</w:t>
      </w:r>
      <w:r w:rsidR="00206608" w:rsidRPr="00B51127">
        <w:rPr>
          <w:rFonts w:ascii="Franklin Gothic Book" w:eastAsia="Times New Roman" w:hAnsi="Franklin Gothic Book" w:cs="Times New Roman"/>
          <w:lang w:val="en"/>
        </w:rPr>
        <w:t>ncreasing competition among colleges</w:t>
      </w:r>
      <w:r w:rsidRPr="00B51127">
        <w:rPr>
          <w:rFonts w:ascii="Franklin Gothic Book" w:eastAsia="Times New Roman" w:hAnsi="Franklin Gothic Book" w:cs="Times New Roman"/>
          <w:lang w:val="en"/>
        </w:rPr>
        <w:t xml:space="preserve"> and universities for students</w:t>
      </w:r>
      <w:r w:rsidR="007E67A0" w:rsidRPr="00B51127">
        <w:rPr>
          <w:rFonts w:ascii="Franklin Gothic Book" w:eastAsia="Times New Roman" w:hAnsi="Franklin Gothic Book" w:cs="Times New Roman"/>
          <w:lang w:val="en"/>
        </w:rPr>
        <w:t>;</w:t>
      </w:r>
    </w:p>
    <w:p w:rsidR="008333AE" w:rsidRPr="00B51127" w:rsidRDefault="007E67A0" w:rsidP="008333AE">
      <w:pPr>
        <w:pStyle w:val="Default"/>
        <w:numPr>
          <w:ilvl w:val="0"/>
          <w:numId w:val="1"/>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The essential role of </w:t>
      </w:r>
      <w:r w:rsidR="00206608" w:rsidRPr="00B51127">
        <w:rPr>
          <w:rFonts w:ascii="Franklin Gothic Book" w:eastAsia="Times New Roman" w:hAnsi="Franklin Gothic Book" w:cs="Times New Roman"/>
          <w:lang w:val="en"/>
        </w:rPr>
        <w:t>effective and targeted marketing</w:t>
      </w:r>
      <w:r w:rsidRPr="00B51127">
        <w:rPr>
          <w:rFonts w:ascii="Franklin Gothic Book" w:eastAsia="Times New Roman" w:hAnsi="Franklin Gothic Book" w:cs="Times New Roman"/>
          <w:lang w:val="en"/>
        </w:rPr>
        <w:t xml:space="preserve">; </w:t>
      </w:r>
      <w:r w:rsidR="00206608" w:rsidRPr="00B51127">
        <w:rPr>
          <w:rFonts w:ascii="Franklin Gothic Book" w:eastAsia="Times New Roman" w:hAnsi="Franklin Gothic Book" w:cs="Times New Roman"/>
          <w:lang w:val="en"/>
        </w:rPr>
        <w:t>and</w:t>
      </w:r>
    </w:p>
    <w:p w:rsidR="00206608" w:rsidRPr="00B51127" w:rsidRDefault="007E67A0" w:rsidP="008333AE">
      <w:pPr>
        <w:pStyle w:val="Default"/>
        <w:numPr>
          <w:ilvl w:val="0"/>
          <w:numId w:val="1"/>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T</w:t>
      </w:r>
      <w:r w:rsidR="00206608" w:rsidRPr="00B51127">
        <w:rPr>
          <w:rFonts w:ascii="Franklin Gothic Book" w:eastAsia="Times New Roman" w:hAnsi="Franklin Gothic Book" w:cs="Times New Roman"/>
          <w:lang w:val="en"/>
        </w:rPr>
        <w:t xml:space="preserve">he necessity of comprehensive planning of future programs and credentials to meet prospective students’ needs. </w:t>
      </w:r>
    </w:p>
    <w:p w:rsidR="00206608" w:rsidRPr="00B51127" w:rsidRDefault="00206608" w:rsidP="00206608">
      <w:pPr>
        <w:pStyle w:val="Default"/>
        <w:rPr>
          <w:rFonts w:ascii="Franklin Gothic Book" w:eastAsia="Times New Roman" w:hAnsi="Franklin Gothic Book" w:cs="Times New Roman"/>
          <w:lang w:val="en"/>
        </w:rPr>
      </w:pPr>
    </w:p>
    <w:p w:rsidR="00314C06" w:rsidRPr="00B51127" w:rsidRDefault="00314C06" w:rsidP="00876228">
      <w:pPr>
        <w:pStyle w:val="Heading2"/>
        <w:rPr>
          <w:rFonts w:eastAsia="Times New Roman"/>
          <w:b/>
          <w:lang w:val="en"/>
        </w:rPr>
      </w:pPr>
      <w:r w:rsidRPr="00B51127">
        <w:rPr>
          <w:rFonts w:eastAsia="Times New Roman"/>
          <w:b/>
          <w:lang w:val="en"/>
        </w:rPr>
        <w:lastRenderedPageBreak/>
        <w:t>Demographic Shifts – Domestic &amp; International</w:t>
      </w:r>
    </w:p>
    <w:p w:rsidR="008333AE"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At the same time that we will experience a declining domestic population, international migration will account for most of the growth in Canada, Ontario and the GTA. In fact, the foreign-born population is expected to increase approximately four times faster than the rest of the population by 2031. More than half of all immigrants to Canada choose to come to Ontario, the majority (76.2%) calling the Toronto census metropolitan area their home. The area surrounding Humber’s North Campus - North-Etobicoke - is particularly diverse and home to a large proportion of recent immigrants (17.9%). It will be essential for Canada to take full advantage of the new skills and experiences that an increasingly diverse immigrant population will bring. </w:t>
      </w:r>
    </w:p>
    <w:p w:rsidR="008333AE" w:rsidRPr="00B51127" w:rsidRDefault="008333AE" w:rsidP="00206608">
      <w:pPr>
        <w:pStyle w:val="Default"/>
        <w:rPr>
          <w:rFonts w:ascii="Franklin Gothic Book" w:eastAsia="Times New Roman" w:hAnsi="Franklin Gothic Book" w:cs="Times New Roman"/>
          <w:lang w:val="en"/>
        </w:rPr>
      </w:pPr>
    </w:p>
    <w:p w:rsidR="00206608"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Postsecondary institutions will be challenged to address the needs of this population in their hiring practices, processes for assessing foreign educational qualifications, provision of English language training, and by offering programs that provide opportunities for Canadian work experience.</w:t>
      </w:r>
    </w:p>
    <w:p w:rsidR="00206608" w:rsidRPr="00B51127" w:rsidRDefault="00206608" w:rsidP="00206608">
      <w:pPr>
        <w:pStyle w:val="Default"/>
        <w:rPr>
          <w:rFonts w:ascii="Franklin Gothic Book" w:eastAsia="Times New Roman" w:hAnsi="Franklin Gothic Book" w:cs="Times New Roman"/>
          <w:lang w:val="en"/>
        </w:rPr>
      </w:pPr>
    </w:p>
    <w:p w:rsidR="008333AE"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A significant portion of Canada’s international migration has been from international student enrolment. Changes in policy affecting international students’ ability to work in Canada have been appealing to prospective students, and Canada’s goal of reaching 450,000 international students by 2022 will benefit the economy as well as colleges and universities. Befittingly, the fastest growing study area for international students in Canada is technology. </w:t>
      </w:r>
    </w:p>
    <w:p w:rsidR="008333AE" w:rsidRPr="00B51127" w:rsidRDefault="008333AE" w:rsidP="00206608">
      <w:pPr>
        <w:pStyle w:val="Default"/>
        <w:rPr>
          <w:rFonts w:ascii="Franklin Gothic Book" w:eastAsia="Times New Roman" w:hAnsi="Franklin Gothic Book" w:cs="Times New Roman"/>
          <w:lang w:val="en"/>
        </w:rPr>
      </w:pPr>
    </w:p>
    <w:p w:rsidR="008333AE" w:rsidRPr="00B51127" w:rsidRDefault="00206608"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To meet the needs of both international and domestic students, the postsecondary sector will need to</w:t>
      </w:r>
      <w:r w:rsidR="008333AE" w:rsidRPr="00B51127">
        <w:rPr>
          <w:rFonts w:ascii="Franklin Gothic Book" w:eastAsia="Times New Roman" w:hAnsi="Franklin Gothic Book" w:cs="Times New Roman"/>
          <w:lang w:val="en"/>
        </w:rPr>
        <w:t>:</w:t>
      </w:r>
    </w:p>
    <w:p w:rsidR="008333AE" w:rsidRPr="00B51127" w:rsidRDefault="008333AE" w:rsidP="008333AE">
      <w:pPr>
        <w:pStyle w:val="Default"/>
        <w:numPr>
          <w:ilvl w:val="0"/>
          <w:numId w:val="2"/>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E</w:t>
      </w:r>
      <w:r w:rsidR="00206608" w:rsidRPr="00B51127">
        <w:rPr>
          <w:rFonts w:ascii="Franklin Gothic Book" w:eastAsia="Times New Roman" w:hAnsi="Franklin Gothic Book" w:cs="Times New Roman"/>
          <w:lang w:val="en"/>
        </w:rPr>
        <w:t>stablish effective means of integrating international s</w:t>
      </w:r>
      <w:r w:rsidR="007E67A0" w:rsidRPr="00B51127">
        <w:rPr>
          <w:rFonts w:ascii="Franklin Gothic Book" w:eastAsia="Times New Roman" w:hAnsi="Franklin Gothic Book" w:cs="Times New Roman"/>
          <w:lang w:val="en"/>
        </w:rPr>
        <w:t>tudents into their communities;</w:t>
      </w:r>
    </w:p>
    <w:p w:rsidR="008333AE" w:rsidRPr="00B51127" w:rsidRDefault="008333AE" w:rsidP="008333AE">
      <w:pPr>
        <w:pStyle w:val="Default"/>
        <w:numPr>
          <w:ilvl w:val="0"/>
          <w:numId w:val="2"/>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Build</w:t>
      </w:r>
      <w:r w:rsidR="00206608" w:rsidRPr="00B51127">
        <w:rPr>
          <w:rFonts w:ascii="Franklin Gothic Book" w:eastAsia="Times New Roman" w:hAnsi="Franklin Gothic Book" w:cs="Times New Roman"/>
          <w:lang w:val="en"/>
        </w:rPr>
        <w:t xml:space="preserve"> cross-cultural awareness an</w:t>
      </w:r>
      <w:r w:rsidRPr="00B51127">
        <w:rPr>
          <w:rFonts w:ascii="Franklin Gothic Book" w:eastAsia="Times New Roman" w:hAnsi="Franklin Gothic Book" w:cs="Times New Roman"/>
          <w:lang w:val="en"/>
        </w:rPr>
        <w:t>d skills in the classroom</w:t>
      </w:r>
      <w:r w:rsidR="007E67A0" w:rsidRPr="00B51127">
        <w:rPr>
          <w:rFonts w:ascii="Franklin Gothic Book" w:eastAsia="Times New Roman" w:hAnsi="Franklin Gothic Book" w:cs="Times New Roman"/>
          <w:lang w:val="en"/>
        </w:rPr>
        <w:t>;</w:t>
      </w:r>
      <w:r w:rsidRPr="00B51127">
        <w:rPr>
          <w:rFonts w:ascii="Franklin Gothic Book" w:eastAsia="Times New Roman" w:hAnsi="Franklin Gothic Book" w:cs="Times New Roman"/>
          <w:lang w:val="en"/>
        </w:rPr>
        <w:t xml:space="preserve"> and </w:t>
      </w:r>
    </w:p>
    <w:p w:rsidR="00206608" w:rsidRPr="00B51127" w:rsidRDefault="008333AE" w:rsidP="008333AE">
      <w:pPr>
        <w:pStyle w:val="Default"/>
        <w:numPr>
          <w:ilvl w:val="0"/>
          <w:numId w:val="2"/>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Give c</w:t>
      </w:r>
      <w:r w:rsidR="00206608" w:rsidRPr="00B51127">
        <w:rPr>
          <w:rFonts w:ascii="Franklin Gothic Book" w:eastAsia="Times New Roman" w:hAnsi="Franklin Gothic Book" w:cs="Times New Roman"/>
          <w:lang w:val="en"/>
        </w:rPr>
        <w:t>onsider</w:t>
      </w:r>
      <w:r w:rsidRPr="00B51127">
        <w:rPr>
          <w:rFonts w:ascii="Franklin Gothic Book" w:eastAsia="Times New Roman" w:hAnsi="Franklin Gothic Book" w:cs="Times New Roman"/>
          <w:lang w:val="en"/>
        </w:rPr>
        <w:t>ation to</w:t>
      </w:r>
      <w:r w:rsidR="00206608" w:rsidRPr="00B51127">
        <w:rPr>
          <w:rFonts w:ascii="Franklin Gothic Book" w:eastAsia="Times New Roman" w:hAnsi="Franklin Gothic Book" w:cs="Times New Roman"/>
          <w:lang w:val="en"/>
        </w:rPr>
        <w:t xml:space="preserve"> the optimal balance of international and domestic student enrolment. </w:t>
      </w:r>
    </w:p>
    <w:p w:rsidR="00206608" w:rsidRPr="00B51127" w:rsidRDefault="00206608" w:rsidP="00206608">
      <w:pPr>
        <w:pStyle w:val="Default"/>
        <w:rPr>
          <w:rFonts w:ascii="Franklin Gothic Book" w:eastAsia="Times New Roman" w:hAnsi="Franklin Gothic Book" w:cs="Times New Roman"/>
          <w:lang w:val="en"/>
        </w:rPr>
      </w:pPr>
    </w:p>
    <w:p w:rsidR="00314C06" w:rsidRPr="00B51127" w:rsidRDefault="00314C06" w:rsidP="00876228">
      <w:pPr>
        <w:pStyle w:val="Heading2"/>
        <w:rPr>
          <w:rFonts w:eastAsia="Times New Roman"/>
          <w:b/>
          <w:lang w:val="en"/>
        </w:rPr>
      </w:pPr>
      <w:r w:rsidRPr="00B51127">
        <w:rPr>
          <w:rFonts w:eastAsia="Times New Roman"/>
          <w:b/>
          <w:lang w:val="en"/>
        </w:rPr>
        <w:t>Technology &amp; Innovation in Higher Education</w:t>
      </w:r>
    </w:p>
    <w:p w:rsidR="007E67A0" w:rsidRPr="00B51127" w:rsidRDefault="004E4133"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 xml:space="preserve">Innovation is at the centre of discussions about the present and future of higher education and refers to a wide range of developments but primarily those related to </w:t>
      </w:r>
    </w:p>
    <w:p w:rsidR="007E67A0" w:rsidRPr="00B51127" w:rsidRDefault="007E67A0" w:rsidP="007E67A0">
      <w:pPr>
        <w:pStyle w:val="Default"/>
        <w:numPr>
          <w:ilvl w:val="0"/>
          <w:numId w:val="3"/>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T</w:t>
      </w:r>
      <w:r w:rsidR="004E4133" w:rsidRPr="00B51127">
        <w:rPr>
          <w:rFonts w:ascii="Franklin Gothic Book" w:eastAsia="Times New Roman" w:hAnsi="Franklin Gothic Book" w:cs="Times New Roman"/>
          <w:lang w:val="en"/>
        </w:rPr>
        <w:t xml:space="preserve">he use of </w:t>
      </w:r>
      <w:r w:rsidRPr="00B51127">
        <w:rPr>
          <w:rFonts w:ascii="Franklin Gothic Book" w:eastAsia="Times New Roman" w:hAnsi="Franklin Gothic Book" w:cs="Times New Roman"/>
          <w:lang w:val="en"/>
        </w:rPr>
        <w:t>technology to deliver education;</w:t>
      </w:r>
    </w:p>
    <w:p w:rsidR="007E67A0" w:rsidRPr="00B51127" w:rsidRDefault="007E67A0" w:rsidP="007E67A0">
      <w:pPr>
        <w:pStyle w:val="Default"/>
        <w:numPr>
          <w:ilvl w:val="0"/>
          <w:numId w:val="3"/>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T</w:t>
      </w:r>
      <w:r w:rsidR="004E4133" w:rsidRPr="00B51127">
        <w:rPr>
          <w:rFonts w:ascii="Franklin Gothic Book" w:eastAsia="Times New Roman" w:hAnsi="Franklin Gothic Book" w:cs="Times New Roman"/>
          <w:lang w:val="en"/>
        </w:rPr>
        <w:t>ransforming the way in which higher education institutions work</w:t>
      </w:r>
      <w:r w:rsidRPr="00B51127">
        <w:rPr>
          <w:rFonts w:ascii="Franklin Gothic Book" w:eastAsia="Times New Roman" w:hAnsi="Franklin Gothic Book" w:cs="Times New Roman"/>
          <w:lang w:val="en"/>
        </w:rPr>
        <w:t>;</w:t>
      </w:r>
      <w:r w:rsidR="004E4133" w:rsidRPr="00B51127">
        <w:rPr>
          <w:rFonts w:ascii="Franklin Gothic Book" w:eastAsia="Times New Roman" w:hAnsi="Franklin Gothic Book" w:cs="Times New Roman"/>
          <w:lang w:val="en"/>
        </w:rPr>
        <w:t xml:space="preserve"> and </w:t>
      </w:r>
    </w:p>
    <w:p w:rsidR="007E67A0" w:rsidRPr="00B51127" w:rsidRDefault="007E67A0" w:rsidP="007E67A0">
      <w:pPr>
        <w:pStyle w:val="Default"/>
        <w:numPr>
          <w:ilvl w:val="0"/>
          <w:numId w:val="3"/>
        </w:numPr>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D</w:t>
      </w:r>
      <w:r w:rsidR="004E4133" w:rsidRPr="00B51127">
        <w:rPr>
          <w:rFonts w:ascii="Franklin Gothic Book" w:eastAsia="Times New Roman" w:hAnsi="Franklin Gothic Book" w:cs="Times New Roman"/>
          <w:lang w:val="en"/>
        </w:rPr>
        <w:t>eveloping products for business (e.g., entrepreneurship).</w:t>
      </w:r>
    </w:p>
    <w:p w:rsidR="007E67A0" w:rsidRPr="00B51127" w:rsidRDefault="007E67A0" w:rsidP="00206608">
      <w:pPr>
        <w:pStyle w:val="Default"/>
        <w:rPr>
          <w:rFonts w:ascii="Franklin Gothic Book" w:eastAsia="Times New Roman" w:hAnsi="Franklin Gothic Book" w:cs="Times New Roman"/>
          <w:lang w:val="en"/>
        </w:rPr>
      </w:pPr>
    </w:p>
    <w:p w:rsidR="00206608" w:rsidRPr="00B51127" w:rsidRDefault="002C54C0" w:rsidP="00206608">
      <w:pPr>
        <w:pStyle w:val="Default"/>
        <w:rPr>
          <w:rFonts w:ascii="Franklin Gothic Book" w:eastAsia="Times New Roman" w:hAnsi="Franklin Gothic Book" w:cs="Times New Roman"/>
          <w:lang w:val="en"/>
        </w:rPr>
      </w:pPr>
      <w:r w:rsidRPr="00B51127">
        <w:rPr>
          <w:rFonts w:ascii="Franklin Gothic Book" w:eastAsia="Times New Roman" w:hAnsi="Franklin Gothic Book" w:cs="Times New Roman"/>
          <w:lang w:val="en"/>
        </w:rPr>
        <w:t>Technology</w:t>
      </w:r>
      <w:r w:rsidR="00D43351" w:rsidRPr="00B51127">
        <w:rPr>
          <w:rFonts w:ascii="Franklin Gothic Book" w:eastAsia="Times New Roman" w:hAnsi="Franklin Gothic Book" w:cs="Times New Roman"/>
          <w:lang w:val="en"/>
        </w:rPr>
        <w:t xml:space="preserve">, such as </w:t>
      </w:r>
      <w:r w:rsidRPr="00B51127">
        <w:rPr>
          <w:rFonts w:ascii="Franklin Gothic Book" w:eastAsia="Times New Roman" w:hAnsi="Franklin Gothic Book" w:cs="Times New Roman"/>
          <w:lang w:val="en"/>
        </w:rPr>
        <w:t>online education, adaptive learning, mobile technolog</w:t>
      </w:r>
      <w:r w:rsidR="00D43351" w:rsidRPr="00B51127">
        <w:rPr>
          <w:rFonts w:ascii="Franklin Gothic Book" w:eastAsia="Times New Roman" w:hAnsi="Franklin Gothic Book" w:cs="Times New Roman"/>
          <w:lang w:val="en"/>
        </w:rPr>
        <w:t>ies, gamification and simulation,</w:t>
      </w:r>
      <w:r w:rsidRPr="00B51127">
        <w:rPr>
          <w:rFonts w:ascii="Franklin Gothic Book" w:eastAsia="Times New Roman" w:hAnsi="Franklin Gothic Book" w:cs="Times New Roman"/>
          <w:lang w:val="en"/>
        </w:rPr>
        <w:t xml:space="preserve"> provide opportunities</w:t>
      </w:r>
      <w:r w:rsidR="00D43351" w:rsidRPr="00B51127">
        <w:rPr>
          <w:rFonts w:ascii="Franklin Gothic Book" w:eastAsia="Times New Roman" w:hAnsi="Franklin Gothic Book" w:cs="Times New Roman"/>
          <w:lang w:val="en"/>
        </w:rPr>
        <w:t xml:space="preserve"> for higher education institutions</w:t>
      </w:r>
      <w:r w:rsidRPr="00B51127">
        <w:rPr>
          <w:rFonts w:ascii="Franklin Gothic Book" w:eastAsia="Times New Roman" w:hAnsi="Franklin Gothic Book" w:cs="Times New Roman"/>
          <w:lang w:val="en"/>
        </w:rPr>
        <w:t xml:space="preserve"> to address</w:t>
      </w:r>
      <w:r w:rsidR="00D43351" w:rsidRPr="00B51127">
        <w:rPr>
          <w:rFonts w:ascii="Franklin Gothic Book" w:eastAsia="Times New Roman" w:hAnsi="Franklin Gothic Book" w:cs="Times New Roman"/>
          <w:lang w:val="en"/>
        </w:rPr>
        <w:t xml:space="preserve"> issues associated with affordability, access, flexibility and responsiveness of education.  Micro-credentialing, st</w:t>
      </w:r>
      <w:r w:rsidR="00130740" w:rsidRPr="00B51127">
        <w:rPr>
          <w:rFonts w:ascii="Franklin Gothic Book" w:eastAsia="Times New Roman" w:hAnsi="Franklin Gothic Book" w:cs="Times New Roman"/>
          <w:lang w:val="en"/>
        </w:rPr>
        <w:t>ackable and modular offerings are</w:t>
      </w:r>
      <w:r w:rsidR="00D43351" w:rsidRPr="00B51127">
        <w:rPr>
          <w:rFonts w:ascii="Franklin Gothic Book" w:eastAsia="Times New Roman" w:hAnsi="Franklin Gothic Book" w:cs="Times New Roman"/>
          <w:lang w:val="en"/>
        </w:rPr>
        <w:t xml:space="preserve"> the new way</w:t>
      </w:r>
      <w:r w:rsidR="00130740" w:rsidRPr="00B51127">
        <w:rPr>
          <w:rFonts w:ascii="Franklin Gothic Book" w:eastAsia="Times New Roman" w:hAnsi="Franklin Gothic Book" w:cs="Times New Roman"/>
          <w:lang w:val="en"/>
        </w:rPr>
        <w:t>s</w:t>
      </w:r>
      <w:r w:rsidR="00D43351" w:rsidRPr="00B51127">
        <w:rPr>
          <w:rFonts w:ascii="Franklin Gothic Book" w:eastAsia="Times New Roman" w:hAnsi="Franklin Gothic Book" w:cs="Times New Roman"/>
          <w:lang w:val="en"/>
        </w:rPr>
        <w:t xml:space="preserve"> of building up skills for students of all ages and these approaches are enhanced and make possible with new technologies.   </w:t>
      </w:r>
      <w:r w:rsidR="00B93562" w:rsidRPr="00B51127">
        <w:rPr>
          <w:rFonts w:ascii="Franklin Gothic Book" w:eastAsia="Times New Roman" w:hAnsi="Franklin Gothic Book" w:cs="Times New Roman"/>
          <w:lang w:val="en"/>
        </w:rPr>
        <w:t>Finally, PSEs are being challenged to play a greater role in stimulating the economy and enterprise creation by teaching entrepreneurial skills, interacting with the industry sector and establishing effective knowledge transfer processes with community partners.</w:t>
      </w:r>
    </w:p>
    <w:p w:rsidR="00B93562" w:rsidRPr="00876228" w:rsidRDefault="00B93562" w:rsidP="00206608">
      <w:pPr>
        <w:pStyle w:val="Default"/>
        <w:rPr>
          <w:rFonts w:ascii="Franklin Gothic Book" w:eastAsia="Times New Roman" w:hAnsi="Franklin Gothic Book" w:cs="Times New Roman"/>
          <w:lang w:val="en"/>
        </w:rPr>
      </w:pPr>
    </w:p>
    <w:p w:rsidR="00314C06" w:rsidRPr="00B51127" w:rsidRDefault="00314C06" w:rsidP="00B51127">
      <w:pPr>
        <w:pStyle w:val="Heading2"/>
        <w:rPr>
          <w:rFonts w:eastAsia="Times New Roman"/>
          <w:b/>
          <w:lang w:val="en"/>
        </w:rPr>
      </w:pPr>
      <w:r w:rsidRPr="00B51127">
        <w:rPr>
          <w:rFonts w:eastAsia="Times New Roman"/>
          <w:b/>
          <w:lang w:val="en"/>
        </w:rPr>
        <w:lastRenderedPageBreak/>
        <w:t>Government Policy Directions</w:t>
      </w:r>
    </w:p>
    <w:p w:rsidR="007E67A0" w:rsidRPr="00876228" w:rsidRDefault="00206608" w:rsidP="000E4774">
      <w:p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Policies and directions related to higher education by the Ontario Government</w:t>
      </w:r>
      <w:r w:rsidRPr="00876228">
        <w:rPr>
          <w:rFonts w:ascii="Franklin Gothic Book" w:eastAsia="Times New Roman" w:hAnsi="Franklin Gothic Book" w:cs="Times New Roman"/>
          <w:color w:val="000000"/>
          <w:sz w:val="24"/>
          <w:szCs w:val="24"/>
          <w:lang w:val="en"/>
        </w:rPr>
        <w:footnoteReference w:id="1"/>
      </w:r>
      <w:r w:rsidRPr="00876228">
        <w:rPr>
          <w:rFonts w:ascii="Franklin Gothic Book" w:eastAsia="Times New Roman" w:hAnsi="Franklin Gothic Book" w:cs="Times New Roman"/>
          <w:color w:val="000000"/>
          <w:sz w:val="24"/>
          <w:szCs w:val="24"/>
          <w:lang w:val="en"/>
        </w:rPr>
        <w:t xml:space="preserve"> and particularly, the Ministry of Advanced Education and Skills Development’s (MAESD) new College Funding Formula</w:t>
      </w:r>
      <w:r w:rsidRPr="00876228">
        <w:rPr>
          <w:rFonts w:ascii="Franklin Gothic Book" w:eastAsia="Times New Roman" w:hAnsi="Franklin Gothic Book" w:cs="Times New Roman"/>
          <w:color w:val="000000"/>
          <w:sz w:val="24"/>
          <w:szCs w:val="24"/>
          <w:lang w:val="en"/>
        </w:rPr>
        <w:footnoteReference w:id="2"/>
      </w:r>
      <w:r w:rsidRPr="00876228">
        <w:rPr>
          <w:rFonts w:ascii="Franklin Gothic Book" w:eastAsia="Times New Roman" w:hAnsi="Franklin Gothic Book" w:cs="Times New Roman"/>
          <w:color w:val="000000"/>
          <w:sz w:val="24"/>
          <w:szCs w:val="24"/>
          <w:lang w:val="en"/>
        </w:rPr>
        <w:t xml:space="preserve"> (CFF) reflect broad environmental factors including</w:t>
      </w:r>
      <w:r w:rsidR="007E67A0" w:rsidRPr="00876228">
        <w:rPr>
          <w:rFonts w:ascii="Franklin Gothic Book" w:eastAsia="Times New Roman" w:hAnsi="Franklin Gothic Book" w:cs="Times New Roman"/>
          <w:color w:val="000000"/>
          <w:sz w:val="24"/>
          <w:szCs w:val="24"/>
          <w:lang w:val="en"/>
        </w:rPr>
        <w:t>:</w:t>
      </w:r>
    </w:p>
    <w:p w:rsidR="007E67A0" w:rsidRPr="00876228" w:rsidRDefault="007E67A0" w:rsidP="007E67A0">
      <w:pPr>
        <w:pStyle w:val="ListParagraph"/>
        <w:numPr>
          <w:ilvl w:val="0"/>
          <w:numId w:val="5"/>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C</w:t>
      </w:r>
      <w:r w:rsidR="00206608" w:rsidRPr="00876228">
        <w:rPr>
          <w:rFonts w:ascii="Franklin Gothic Book" w:eastAsia="Times New Roman" w:hAnsi="Franklin Gothic Book" w:cs="Times New Roman"/>
          <w:color w:val="000000"/>
          <w:sz w:val="24"/>
          <w:szCs w:val="24"/>
          <w:lang w:val="en"/>
        </w:rPr>
        <w:t>hanging demographics and subsequen</w:t>
      </w:r>
      <w:r w:rsidRPr="00876228">
        <w:rPr>
          <w:rFonts w:ascii="Franklin Gothic Book" w:eastAsia="Times New Roman" w:hAnsi="Franklin Gothic Book" w:cs="Times New Roman"/>
          <w:color w:val="000000"/>
          <w:sz w:val="24"/>
          <w:szCs w:val="24"/>
          <w:lang w:val="en"/>
        </w:rPr>
        <w:t>t declining college enrolments;</w:t>
      </w:r>
    </w:p>
    <w:p w:rsidR="007E67A0" w:rsidRPr="00876228" w:rsidRDefault="007E67A0" w:rsidP="007E67A0">
      <w:pPr>
        <w:pStyle w:val="ListParagraph"/>
        <w:numPr>
          <w:ilvl w:val="0"/>
          <w:numId w:val="5"/>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S</w:t>
      </w:r>
      <w:r w:rsidR="00206608" w:rsidRPr="00876228">
        <w:rPr>
          <w:rFonts w:ascii="Franklin Gothic Book" w:eastAsia="Times New Roman" w:hAnsi="Franklin Gothic Book" w:cs="Times New Roman"/>
          <w:color w:val="000000"/>
          <w:sz w:val="24"/>
          <w:szCs w:val="24"/>
          <w:lang w:val="en"/>
        </w:rPr>
        <w:t>low national economic productivity a</w:t>
      </w:r>
      <w:r w:rsidRPr="00876228">
        <w:rPr>
          <w:rFonts w:ascii="Franklin Gothic Book" w:eastAsia="Times New Roman" w:hAnsi="Franklin Gothic Book" w:cs="Times New Roman"/>
          <w:color w:val="000000"/>
          <w:sz w:val="24"/>
          <w:szCs w:val="24"/>
          <w:lang w:val="en"/>
        </w:rPr>
        <w:t xml:space="preserve">nd unmet labour market demands; </w:t>
      </w:r>
      <w:r w:rsidR="00206608" w:rsidRPr="00876228">
        <w:rPr>
          <w:rFonts w:ascii="Franklin Gothic Book" w:eastAsia="Times New Roman" w:hAnsi="Franklin Gothic Book" w:cs="Times New Roman"/>
          <w:color w:val="000000"/>
          <w:sz w:val="24"/>
          <w:szCs w:val="24"/>
          <w:lang w:val="en"/>
        </w:rPr>
        <w:t xml:space="preserve">and </w:t>
      </w:r>
    </w:p>
    <w:p w:rsidR="00206608" w:rsidRPr="00876228" w:rsidRDefault="007E67A0" w:rsidP="007E67A0">
      <w:pPr>
        <w:pStyle w:val="ListParagraph"/>
        <w:numPr>
          <w:ilvl w:val="0"/>
          <w:numId w:val="5"/>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I</w:t>
      </w:r>
      <w:r w:rsidR="00206608" w:rsidRPr="00876228">
        <w:rPr>
          <w:rFonts w:ascii="Franklin Gothic Book" w:eastAsia="Times New Roman" w:hAnsi="Franklin Gothic Book" w:cs="Times New Roman"/>
          <w:color w:val="000000"/>
          <w:sz w:val="24"/>
          <w:szCs w:val="24"/>
          <w:lang w:val="en"/>
        </w:rPr>
        <w:t xml:space="preserve">ssues of equity in post-secondary education (e.g., access to PSE by under-represented groups including low income families, persons with disabilities and Indigenous peoples).  </w:t>
      </w:r>
    </w:p>
    <w:p w:rsidR="007E67A0" w:rsidRPr="00876228" w:rsidRDefault="00206608" w:rsidP="000E4774">
      <w:p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Ke</w:t>
      </w:r>
      <w:r w:rsidR="007E67A0" w:rsidRPr="00876228">
        <w:rPr>
          <w:rFonts w:ascii="Franklin Gothic Book" w:eastAsia="Times New Roman" w:hAnsi="Franklin Gothic Book" w:cs="Times New Roman"/>
          <w:color w:val="000000"/>
          <w:sz w:val="24"/>
          <w:szCs w:val="24"/>
          <w:lang w:val="en"/>
        </w:rPr>
        <w:t>y components of the CPP include:</w:t>
      </w:r>
    </w:p>
    <w:p w:rsidR="007E67A0" w:rsidRPr="00876228" w:rsidRDefault="007E67A0" w:rsidP="007E67A0">
      <w:pPr>
        <w:pStyle w:val="ListParagraph"/>
        <w:numPr>
          <w:ilvl w:val="0"/>
          <w:numId w:val="7"/>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P</w:t>
      </w:r>
      <w:r w:rsidR="00206608" w:rsidRPr="00876228">
        <w:rPr>
          <w:rFonts w:ascii="Franklin Gothic Book" w:eastAsia="Times New Roman" w:hAnsi="Franklin Gothic Book" w:cs="Times New Roman"/>
          <w:color w:val="000000"/>
          <w:sz w:val="24"/>
          <w:szCs w:val="24"/>
          <w:lang w:val="en"/>
        </w:rPr>
        <w:t xml:space="preserve">redictable core funding based on a corridor model; </w:t>
      </w:r>
    </w:p>
    <w:p w:rsidR="007E67A0" w:rsidRPr="00876228" w:rsidRDefault="007E67A0" w:rsidP="007E67A0">
      <w:pPr>
        <w:pStyle w:val="ListParagraph"/>
        <w:numPr>
          <w:ilvl w:val="0"/>
          <w:numId w:val="7"/>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A</w:t>
      </w:r>
      <w:r w:rsidR="00206608" w:rsidRPr="00876228">
        <w:rPr>
          <w:rFonts w:ascii="Franklin Gothic Book" w:eastAsia="Times New Roman" w:hAnsi="Franklin Gothic Book" w:cs="Times New Roman"/>
          <w:color w:val="000000"/>
          <w:sz w:val="24"/>
          <w:szCs w:val="24"/>
          <w:lang w:val="en"/>
        </w:rPr>
        <w:t xml:space="preserve"> differentiation envelope which allocates funding based on performance metrics in governmental and institutional priority areas; and </w:t>
      </w:r>
    </w:p>
    <w:p w:rsidR="00206608" w:rsidRPr="00876228" w:rsidRDefault="007E67A0" w:rsidP="007E67A0">
      <w:pPr>
        <w:pStyle w:val="ListParagraph"/>
        <w:numPr>
          <w:ilvl w:val="0"/>
          <w:numId w:val="7"/>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S</w:t>
      </w:r>
      <w:r w:rsidR="00206608" w:rsidRPr="00876228">
        <w:rPr>
          <w:rFonts w:ascii="Franklin Gothic Book" w:eastAsia="Times New Roman" w:hAnsi="Franklin Gothic Book" w:cs="Times New Roman"/>
          <w:color w:val="000000"/>
          <w:sz w:val="24"/>
          <w:szCs w:val="24"/>
          <w:lang w:val="en"/>
        </w:rPr>
        <w:t xml:space="preserve">pecial purpose grants to address government and system priorities such as improving access to PSE for under-represented groups.  </w:t>
      </w:r>
    </w:p>
    <w:p w:rsidR="007E67A0" w:rsidRPr="00876228" w:rsidRDefault="00206608" w:rsidP="000E4774">
      <w:p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Other governmental priorities are highlighted in Building the Workforce of Tomorrow:  A Shared Responsibility</w:t>
      </w:r>
      <w:r w:rsidRPr="00876228">
        <w:rPr>
          <w:rFonts w:ascii="Franklin Gothic Book" w:eastAsia="Times New Roman" w:hAnsi="Franklin Gothic Book" w:cs="Times New Roman"/>
          <w:color w:val="000000"/>
          <w:sz w:val="24"/>
          <w:szCs w:val="24"/>
          <w:lang w:val="en"/>
        </w:rPr>
        <w:footnoteReference w:id="3"/>
      </w:r>
      <w:r w:rsidR="007E67A0" w:rsidRPr="00876228">
        <w:rPr>
          <w:rFonts w:ascii="Franklin Gothic Book" w:eastAsia="Times New Roman" w:hAnsi="Franklin Gothic Book" w:cs="Times New Roman"/>
          <w:color w:val="000000"/>
          <w:sz w:val="24"/>
          <w:szCs w:val="24"/>
          <w:lang w:val="en"/>
        </w:rPr>
        <w:t xml:space="preserve"> which recommends</w:t>
      </w:r>
      <w:r w:rsidR="00876228" w:rsidRPr="00876228">
        <w:rPr>
          <w:rFonts w:ascii="Franklin Gothic Book" w:eastAsia="Times New Roman" w:hAnsi="Franklin Gothic Book" w:cs="Times New Roman"/>
          <w:color w:val="000000"/>
          <w:sz w:val="24"/>
          <w:szCs w:val="24"/>
          <w:lang w:val="en"/>
        </w:rPr>
        <w:t xml:space="preserve"> a focus on s</w:t>
      </w:r>
      <w:r w:rsidRPr="00876228">
        <w:rPr>
          <w:rFonts w:ascii="Franklin Gothic Book" w:eastAsia="Times New Roman" w:hAnsi="Franklin Gothic Book" w:cs="Times New Roman"/>
          <w:color w:val="000000"/>
          <w:sz w:val="24"/>
          <w:szCs w:val="24"/>
          <w:lang w:val="en"/>
        </w:rPr>
        <w:t>kills development and</w:t>
      </w:r>
      <w:r w:rsidR="00876228" w:rsidRPr="00876228">
        <w:rPr>
          <w:rFonts w:ascii="Franklin Gothic Book" w:eastAsia="Times New Roman" w:hAnsi="Franklin Gothic Book" w:cs="Times New Roman"/>
          <w:color w:val="000000"/>
          <w:sz w:val="24"/>
          <w:szCs w:val="24"/>
          <w:lang w:val="en"/>
        </w:rPr>
        <w:t xml:space="preserve"> the provision of at least one</w:t>
      </w:r>
      <w:r w:rsidRPr="00876228">
        <w:rPr>
          <w:rFonts w:ascii="Franklin Gothic Book" w:eastAsia="Times New Roman" w:hAnsi="Franklin Gothic Book" w:cs="Times New Roman"/>
          <w:color w:val="000000"/>
          <w:sz w:val="24"/>
          <w:szCs w:val="24"/>
          <w:lang w:val="en"/>
        </w:rPr>
        <w:t xml:space="preserve"> experiential learning </w:t>
      </w:r>
      <w:r w:rsidR="00876228" w:rsidRPr="00876228">
        <w:rPr>
          <w:rFonts w:ascii="Franklin Gothic Book" w:eastAsia="Times New Roman" w:hAnsi="Franklin Gothic Book" w:cs="Times New Roman"/>
          <w:color w:val="000000"/>
          <w:sz w:val="24"/>
          <w:szCs w:val="24"/>
          <w:lang w:val="en"/>
        </w:rPr>
        <w:t>opportunity for all PSE students before graduation</w:t>
      </w:r>
      <w:r w:rsidR="007E67A0" w:rsidRPr="00876228">
        <w:rPr>
          <w:rFonts w:ascii="Franklin Gothic Book" w:eastAsia="Times New Roman" w:hAnsi="Franklin Gothic Book" w:cs="Times New Roman"/>
          <w:color w:val="000000"/>
          <w:sz w:val="24"/>
          <w:szCs w:val="24"/>
          <w:lang w:val="en"/>
        </w:rPr>
        <w:t xml:space="preserve"> </w:t>
      </w:r>
      <w:r w:rsidR="00876228" w:rsidRPr="00876228">
        <w:rPr>
          <w:rFonts w:ascii="Franklin Gothic Book" w:eastAsia="Times New Roman" w:hAnsi="Franklin Gothic Book" w:cs="Times New Roman"/>
          <w:color w:val="000000"/>
          <w:sz w:val="24"/>
          <w:szCs w:val="24"/>
          <w:lang w:val="en"/>
        </w:rPr>
        <w:t xml:space="preserve">as measures </w:t>
      </w:r>
      <w:r w:rsidR="007E67A0" w:rsidRPr="00876228">
        <w:rPr>
          <w:rFonts w:ascii="Franklin Gothic Book" w:eastAsia="Times New Roman" w:hAnsi="Franklin Gothic Book" w:cs="Times New Roman"/>
          <w:color w:val="000000"/>
          <w:sz w:val="24"/>
          <w:szCs w:val="24"/>
          <w:lang w:val="en"/>
        </w:rPr>
        <w:t>to</w:t>
      </w:r>
      <w:r w:rsidRPr="00876228">
        <w:rPr>
          <w:rFonts w:ascii="Franklin Gothic Book" w:eastAsia="Times New Roman" w:hAnsi="Franklin Gothic Book" w:cs="Times New Roman"/>
          <w:color w:val="000000"/>
          <w:sz w:val="24"/>
          <w:szCs w:val="24"/>
          <w:lang w:val="en"/>
        </w:rPr>
        <w:t xml:space="preserve"> increase linkages to e</w:t>
      </w:r>
      <w:r w:rsidR="00876228" w:rsidRPr="00876228">
        <w:rPr>
          <w:rFonts w:ascii="Franklin Gothic Book" w:eastAsia="Times New Roman" w:hAnsi="Franklin Gothic Book" w:cs="Times New Roman"/>
          <w:color w:val="000000"/>
          <w:sz w:val="24"/>
          <w:szCs w:val="24"/>
          <w:lang w:val="en"/>
        </w:rPr>
        <w:t>mployment and entrepreneurship. It also calls for the development of h</w:t>
      </w:r>
      <w:r w:rsidRPr="00876228">
        <w:rPr>
          <w:rFonts w:ascii="Franklin Gothic Book" w:eastAsia="Times New Roman" w:hAnsi="Franklin Gothic Book" w:cs="Times New Roman"/>
          <w:color w:val="000000"/>
          <w:sz w:val="24"/>
          <w:szCs w:val="24"/>
          <w:lang w:val="en"/>
        </w:rPr>
        <w:t>igh quality labour market data</w:t>
      </w:r>
      <w:r w:rsidR="00876228" w:rsidRPr="00876228">
        <w:rPr>
          <w:rFonts w:ascii="Franklin Gothic Book" w:eastAsia="Times New Roman" w:hAnsi="Franklin Gothic Book" w:cs="Times New Roman"/>
          <w:color w:val="000000"/>
          <w:sz w:val="24"/>
          <w:szCs w:val="24"/>
          <w:lang w:val="en"/>
        </w:rPr>
        <w:t>.</w:t>
      </w:r>
      <w:r w:rsidR="007E67A0" w:rsidRPr="00876228">
        <w:rPr>
          <w:rFonts w:ascii="Franklin Gothic Book" w:eastAsia="Times New Roman" w:hAnsi="Franklin Gothic Book" w:cs="Times New Roman"/>
          <w:color w:val="000000"/>
          <w:sz w:val="24"/>
          <w:szCs w:val="24"/>
          <w:lang w:val="en"/>
        </w:rPr>
        <w:t xml:space="preserve"> </w:t>
      </w:r>
    </w:p>
    <w:p w:rsidR="00876228" w:rsidRPr="00876228" w:rsidRDefault="00206608" w:rsidP="000E4774">
      <w:p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Finally, the MAESD has announced two initiati</w:t>
      </w:r>
      <w:r w:rsidR="00876228" w:rsidRPr="00876228">
        <w:rPr>
          <w:rFonts w:ascii="Franklin Gothic Book" w:eastAsia="Times New Roman" w:hAnsi="Franklin Gothic Book" w:cs="Times New Roman"/>
          <w:color w:val="000000"/>
          <w:sz w:val="24"/>
          <w:szCs w:val="24"/>
          <w:lang w:val="en"/>
        </w:rPr>
        <w:t>ves affecting student tuition that are expected to improve access to PSE by low income families:</w:t>
      </w:r>
    </w:p>
    <w:p w:rsidR="00876228" w:rsidRPr="00876228" w:rsidRDefault="00876228" w:rsidP="00876228">
      <w:pPr>
        <w:pStyle w:val="ListParagraph"/>
        <w:numPr>
          <w:ilvl w:val="0"/>
          <w:numId w:val="9"/>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The</w:t>
      </w:r>
      <w:r w:rsidR="00206608" w:rsidRPr="00876228">
        <w:rPr>
          <w:rFonts w:ascii="Franklin Gothic Book" w:eastAsia="Times New Roman" w:hAnsi="Franklin Gothic Book" w:cs="Times New Roman"/>
          <w:color w:val="000000"/>
          <w:sz w:val="24"/>
          <w:szCs w:val="24"/>
          <w:lang w:val="en"/>
        </w:rPr>
        <w:t xml:space="preserve"> net tuition program where students do not pay the “sticker price” of tuition by rather the net amount or amount remaining after aid from the Ontario Student Assistance Program (OSAP) and college’s non-repayable financial assistance are taken into account. </w:t>
      </w:r>
    </w:p>
    <w:p w:rsidR="00206608" w:rsidRPr="00876228" w:rsidRDefault="00876228" w:rsidP="00206608">
      <w:pPr>
        <w:pStyle w:val="ListParagraph"/>
        <w:numPr>
          <w:ilvl w:val="0"/>
          <w:numId w:val="9"/>
        </w:numPr>
        <w:spacing w:line="240" w:lineRule="auto"/>
        <w:rPr>
          <w:rFonts w:ascii="Franklin Gothic Book" w:eastAsia="Times New Roman" w:hAnsi="Franklin Gothic Book" w:cs="Times New Roman"/>
          <w:color w:val="000000"/>
          <w:sz w:val="24"/>
          <w:szCs w:val="24"/>
          <w:lang w:val="en"/>
        </w:rPr>
      </w:pPr>
      <w:r w:rsidRPr="00876228">
        <w:rPr>
          <w:rFonts w:ascii="Franklin Gothic Book" w:eastAsia="Times New Roman" w:hAnsi="Franklin Gothic Book" w:cs="Times New Roman"/>
          <w:color w:val="000000"/>
          <w:sz w:val="24"/>
          <w:szCs w:val="24"/>
          <w:lang w:val="en"/>
        </w:rPr>
        <w:t>M</w:t>
      </w:r>
      <w:r w:rsidR="00206608" w:rsidRPr="00876228">
        <w:rPr>
          <w:rFonts w:ascii="Franklin Gothic Book" w:eastAsia="Times New Roman" w:hAnsi="Franklin Gothic Book" w:cs="Times New Roman"/>
          <w:color w:val="000000"/>
          <w:sz w:val="24"/>
          <w:szCs w:val="24"/>
          <w:lang w:val="en"/>
        </w:rPr>
        <w:t>ake average tuition free for students whose familie</w:t>
      </w:r>
      <w:r w:rsidRPr="00876228">
        <w:rPr>
          <w:rFonts w:ascii="Franklin Gothic Book" w:eastAsia="Times New Roman" w:hAnsi="Franklin Gothic Book" w:cs="Times New Roman"/>
          <w:color w:val="000000"/>
          <w:sz w:val="24"/>
          <w:szCs w:val="24"/>
          <w:lang w:val="en"/>
        </w:rPr>
        <w:t>s make less than $50,000 a year and r</w:t>
      </w:r>
      <w:r w:rsidR="00206608" w:rsidRPr="00876228">
        <w:rPr>
          <w:rFonts w:ascii="Franklin Gothic Book" w:eastAsia="Times New Roman" w:hAnsi="Franklin Gothic Book" w:cs="Times New Roman"/>
          <w:color w:val="000000"/>
          <w:sz w:val="24"/>
          <w:szCs w:val="24"/>
          <w:lang w:val="en"/>
        </w:rPr>
        <w:t xml:space="preserve">educe expected parental contributions so </w:t>
      </w:r>
      <w:r w:rsidRPr="00876228">
        <w:rPr>
          <w:rFonts w:ascii="Franklin Gothic Book" w:eastAsia="Times New Roman" w:hAnsi="Franklin Gothic Book" w:cs="Times New Roman"/>
          <w:color w:val="000000"/>
          <w:sz w:val="24"/>
          <w:szCs w:val="24"/>
          <w:lang w:val="en"/>
        </w:rPr>
        <w:t xml:space="preserve">that </w:t>
      </w:r>
      <w:r w:rsidR="00206608" w:rsidRPr="00876228">
        <w:rPr>
          <w:rFonts w:ascii="Franklin Gothic Book" w:eastAsia="Times New Roman" w:hAnsi="Franklin Gothic Book" w:cs="Times New Roman"/>
          <w:color w:val="000000"/>
          <w:sz w:val="24"/>
          <w:szCs w:val="24"/>
          <w:lang w:val="en"/>
        </w:rPr>
        <w:t>more students from middle-income families</w:t>
      </w:r>
      <w:r w:rsidRPr="00876228">
        <w:rPr>
          <w:rFonts w:ascii="Franklin Gothic Book" w:eastAsia="Times New Roman" w:hAnsi="Franklin Gothic Book" w:cs="Times New Roman"/>
          <w:color w:val="000000"/>
          <w:sz w:val="24"/>
          <w:szCs w:val="24"/>
          <w:lang w:val="en"/>
        </w:rPr>
        <w:t xml:space="preserve"> will be eligible for support. </w:t>
      </w:r>
    </w:p>
    <w:sectPr w:rsidR="00206608" w:rsidRPr="00876228" w:rsidSect="001906A6">
      <w:footerReference w:type="default" r:id="rId7"/>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72" w:rsidRDefault="00CE4472" w:rsidP="00206608">
      <w:pPr>
        <w:spacing w:after="0" w:line="240" w:lineRule="auto"/>
      </w:pPr>
      <w:r>
        <w:separator/>
      </w:r>
    </w:p>
  </w:endnote>
  <w:endnote w:type="continuationSeparator" w:id="0">
    <w:p w:rsidR="00CE4472" w:rsidRDefault="00CE4472" w:rsidP="00206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788757"/>
      <w:docPartObj>
        <w:docPartGallery w:val="Page Numbers (Bottom of Page)"/>
        <w:docPartUnique/>
      </w:docPartObj>
    </w:sdtPr>
    <w:sdtEndPr>
      <w:rPr>
        <w:color w:val="7F7F7F" w:themeColor="background1" w:themeShade="7F"/>
        <w:spacing w:val="60"/>
      </w:rPr>
    </w:sdtEndPr>
    <w:sdtContent>
      <w:p w:rsidR="001906A6" w:rsidRDefault="001906A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80879" w:rsidRPr="00B80879">
          <w:rPr>
            <w:b/>
            <w:bCs/>
            <w:noProof/>
          </w:rPr>
          <w:t>3</w:t>
        </w:r>
        <w:r>
          <w:rPr>
            <w:b/>
            <w:bCs/>
            <w:noProof/>
          </w:rPr>
          <w:fldChar w:fldCharType="end"/>
        </w:r>
        <w:r>
          <w:rPr>
            <w:b/>
            <w:bCs/>
          </w:rPr>
          <w:t xml:space="preserve"> | </w:t>
        </w:r>
        <w:r>
          <w:rPr>
            <w:color w:val="7F7F7F" w:themeColor="background1" w:themeShade="7F"/>
            <w:spacing w:val="60"/>
          </w:rPr>
          <w:t>Page</w:t>
        </w:r>
      </w:p>
    </w:sdtContent>
  </w:sdt>
  <w:p w:rsidR="001906A6" w:rsidRDefault="001906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72" w:rsidRDefault="00CE4472" w:rsidP="00206608">
      <w:pPr>
        <w:spacing w:after="0" w:line="240" w:lineRule="auto"/>
      </w:pPr>
      <w:r>
        <w:separator/>
      </w:r>
    </w:p>
  </w:footnote>
  <w:footnote w:type="continuationSeparator" w:id="0">
    <w:p w:rsidR="00CE4472" w:rsidRDefault="00CE4472" w:rsidP="00206608">
      <w:pPr>
        <w:spacing w:after="0" w:line="240" w:lineRule="auto"/>
      </w:pPr>
      <w:r>
        <w:continuationSeparator/>
      </w:r>
    </w:p>
  </w:footnote>
  <w:footnote w:id="1">
    <w:p w:rsidR="00206608" w:rsidRPr="00876228" w:rsidRDefault="00206608" w:rsidP="00206608">
      <w:pPr>
        <w:pStyle w:val="FootnoteText"/>
        <w:rPr>
          <w:rFonts w:ascii="Franklin Gothic Book" w:hAnsi="Franklin Gothic Book"/>
        </w:rPr>
      </w:pPr>
      <w:r w:rsidRPr="00876228">
        <w:rPr>
          <w:rStyle w:val="FootnoteReference"/>
          <w:rFonts w:ascii="Franklin Gothic Book" w:hAnsi="Franklin Gothic Book"/>
        </w:rPr>
        <w:footnoteRef/>
      </w:r>
      <w:r w:rsidRPr="00876228">
        <w:rPr>
          <w:rFonts w:ascii="Franklin Gothic Book" w:hAnsi="Franklin Gothic Book"/>
        </w:rPr>
        <w:t xml:space="preserve"> 2016 Ontario Budget: Chapter I: Building Prosperity and Creating Jobs.   </w:t>
      </w:r>
      <w:hyperlink r:id="rId1" w:history="1">
        <w:r w:rsidRPr="00876228">
          <w:rPr>
            <w:rStyle w:val="Hyperlink"/>
            <w:rFonts w:ascii="Franklin Gothic Book" w:hAnsi="Franklin Gothic Book"/>
          </w:rPr>
          <w:t>http://www.fin.gov.on.ca/en/budget/ontariobudgets/2016/ch1c.html</w:t>
        </w:r>
      </w:hyperlink>
    </w:p>
  </w:footnote>
  <w:footnote w:id="2">
    <w:p w:rsidR="00206608" w:rsidRPr="00876228" w:rsidRDefault="00206608" w:rsidP="00206608">
      <w:pPr>
        <w:spacing w:after="0"/>
        <w:rPr>
          <w:rFonts w:ascii="Franklin Gothic Book" w:hAnsi="Franklin Gothic Book"/>
          <w:sz w:val="20"/>
          <w:szCs w:val="20"/>
        </w:rPr>
      </w:pPr>
      <w:r w:rsidRPr="00876228">
        <w:rPr>
          <w:rStyle w:val="FootnoteReference"/>
          <w:rFonts w:ascii="Franklin Gothic Book" w:hAnsi="Franklin Gothic Book"/>
        </w:rPr>
        <w:footnoteRef/>
      </w:r>
      <w:r w:rsidRPr="00876228">
        <w:rPr>
          <w:rFonts w:ascii="Franklin Gothic Book" w:hAnsi="Franklin Gothic Book"/>
        </w:rPr>
        <w:t xml:space="preserve"> </w:t>
      </w:r>
      <w:r w:rsidRPr="00876228">
        <w:rPr>
          <w:rFonts w:ascii="Franklin Gothic Book" w:hAnsi="Franklin Gothic Book"/>
          <w:sz w:val="20"/>
          <w:szCs w:val="20"/>
        </w:rPr>
        <w:t>College Funding Formula Technical Design (Draft), MAESD, January 26, 2017.</w:t>
      </w:r>
    </w:p>
  </w:footnote>
  <w:footnote w:id="3">
    <w:p w:rsidR="00206608" w:rsidRDefault="00206608" w:rsidP="00206608">
      <w:pPr>
        <w:pStyle w:val="FootnoteText"/>
      </w:pPr>
      <w:r w:rsidRPr="00876228">
        <w:rPr>
          <w:rStyle w:val="FootnoteReference"/>
          <w:rFonts w:ascii="Franklin Gothic Book" w:hAnsi="Franklin Gothic Book"/>
        </w:rPr>
        <w:footnoteRef/>
      </w:r>
      <w:r w:rsidRPr="00876228">
        <w:rPr>
          <w:rFonts w:ascii="Franklin Gothic Book" w:hAnsi="Franklin Gothic Book"/>
        </w:rPr>
        <w:t xml:space="preserve"> Building the Workforce of Tomorrow:  A Shared Responsibility.  The Premier’s Highly Skilled Workforce Expert Panel, Report submitted to the Honourable Kathleen Wynne, Premier of Ontario, June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A9B"/>
    <w:multiLevelType w:val="hybridMultilevel"/>
    <w:tmpl w:val="E542B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B5ACA"/>
    <w:multiLevelType w:val="hybridMultilevel"/>
    <w:tmpl w:val="6244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51D8"/>
    <w:multiLevelType w:val="hybridMultilevel"/>
    <w:tmpl w:val="0BF639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15F25"/>
    <w:multiLevelType w:val="hybridMultilevel"/>
    <w:tmpl w:val="6D26E8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7BA"/>
    <w:multiLevelType w:val="hybridMultilevel"/>
    <w:tmpl w:val="B7C0C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A1989"/>
    <w:multiLevelType w:val="hybridMultilevel"/>
    <w:tmpl w:val="AAD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E5BDD"/>
    <w:multiLevelType w:val="hybridMultilevel"/>
    <w:tmpl w:val="70422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94493"/>
    <w:multiLevelType w:val="hybridMultilevel"/>
    <w:tmpl w:val="1FF2F5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93F15"/>
    <w:multiLevelType w:val="hybridMultilevel"/>
    <w:tmpl w:val="B92A0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6"/>
  </w:num>
  <w:num w:numId="5">
    <w:abstractNumId w:val="2"/>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608"/>
    <w:rsid w:val="000E4774"/>
    <w:rsid w:val="00130740"/>
    <w:rsid w:val="001906A6"/>
    <w:rsid w:val="00206608"/>
    <w:rsid w:val="0024013D"/>
    <w:rsid w:val="002A0827"/>
    <w:rsid w:val="002A1D9E"/>
    <w:rsid w:val="002C54C0"/>
    <w:rsid w:val="00314C06"/>
    <w:rsid w:val="004E4133"/>
    <w:rsid w:val="00592322"/>
    <w:rsid w:val="007B08C5"/>
    <w:rsid w:val="007E67A0"/>
    <w:rsid w:val="008333AE"/>
    <w:rsid w:val="008758E9"/>
    <w:rsid w:val="00876228"/>
    <w:rsid w:val="0094244D"/>
    <w:rsid w:val="0098068E"/>
    <w:rsid w:val="00A90AAC"/>
    <w:rsid w:val="00AB7FAA"/>
    <w:rsid w:val="00AD5831"/>
    <w:rsid w:val="00B51127"/>
    <w:rsid w:val="00B80879"/>
    <w:rsid w:val="00B93562"/>
    <w:rsid w:val="00CE4472"/>
    <w:rsid w:val="00D43351"/>
    <w:rsid w:val="00E405EB"/>
    <w:rsid w:val="00F5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C6F38-6DE1-41A2-B5D9-51B11C2B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2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62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66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06608"/>
    <w:rPr>
      <w:color w:val="0000FF" w:themeColor="hyperlink"/>
      <w:u w:val="single"/>
    </w:rPr>
  </w:style>
  <w:style w:type="paragraph" w:styleId="FootnoteText">
    <w:name w:val="footnote text"/>
    <w:basedOn w:val="Normal"/>
    <w:link w:val="FootnoteTextChar"/>
    <w:uiPriority w:val="99"/>
    <w:semiHidden/>
    <w:unhideWhenUsed/>
    <w:rsid w:val="00206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6608"/>
    <w:rPr>
      <w:sz w:val="20"/>
      <w:szCs w:val="20"/>
    </w:rPr>
  </w:style>
  <w:style w:type="character" w:styleId="FootnoteReference">
    <w:name w:val="footnote reference"/>
    <w:basedOn w:val="DefaultParagraphFont"/>
    <w:uiPriority w:val="99"/>
    <w:semiHidden/>
    <w:unhideWhenUsed/>
    <w:rsid w:val="00206608"/>
    <w:rPr>
      <w:vertAlign w:val="superscript"/>
    </w:rPr>
  </w:style>
  <w:style w:type="paragraph" w:styleId="NormalWeb">
    <w:name w:val="Normal (Web)"/>
    <w:basedOn w:val="Normal"/>
    <w:uiPriority w:val="99"/>
    <w:unhideWhenUsed/>
    <w:rsid w:val="00D4335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7FF"/>
    <w:rPr>
      <w:rFonts w:ascii="Tahoma" w:hAnsi="Tahoma" w:cs="Tahoma"/>
      <w:sz w:val="16"/>
      <w:szCs w:val="16"/>
    </w:rPr>
  </w:style>
  <w:style w:type="character" w:styleId="FollowedHyperlink">
    <w:name w:val="FollowedHyperlink"/>
    <w:basedOn w:val="DefaultParagraphFont"/>
    <w:uiPriority w:val="99"/>
    <w:semiHidden/>
    <w:unhideWhenUsed/>
    <w:rsid w:val="00A90AAC"/>
    <w:rPr>
      <w:color w:val="800080" w:themeColor="followedHyperlink"/>
      <w:u w:val="single"/>
    </w:rPr>
  </w:style>
  <w:style w:type="paragraph" w:styleId="ListParagraph">
    <w:name w:val="List Paragraph"/>
    <w:basedOn w:val="Normal"/>
    <w:uiPriority w:val="34"/>
    <w:qFormat/>
    <w:rsid w:val="007E67A0"/>
    <w:pPr>
      <w:ind w:left="720"/>
      <w:contextualSpacing/>
    </w:pPr>
  </w:style>
  <w:style w:type="character" w:customStyle="1" w:styleId="Heading1Char">
    <w:name w:val="Heading 1 Char"/>
    <w:basedOn w:val="DefaultParagraphFont"/>
    <w:link w:val="Heading1"/>
    <w:uiPriority w:val="9"/>
    <w:rsid w:val="0087622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7622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190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6A6"/>
  </w:style>
  <w:style w:type="paragraph" w:styleId="Footer">
    <w:name w:val="footer"/>
    <w:basedOn w:val="Normal"/>
    <w:link w:val="FooterChar"/>
    <w:uiPriority w:val="99"/>
    <w:unhideWhenUsed/>
    <w:rsid w:val="00190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in.gov.on.ca/en/budget/ontariobudgets/2016/ch1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Humber College</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 College</dc:creator>
  <cp:lastModifiedBy>Regan Mancini</cp:lastModifiedBy>
  <cp:revision>2</cp:revision>
  <cp:lastPrinted>2017-02-22T14:02:00Z</cp:lastPrinted>
  <dcterms:created xsi:type="dcterms:W3CDTF">2017-06-14T17:59:00Z</dcterms:created>
  <dcterms:modified xsi:type="dcterms:W3CDTF">2017-06-14T17:59:00Z</dcterms:modified>
</cp:coreProperties>
</file>